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14"/>
    <w:p>
      <w:pPr>
        <w:pStyle w:val="Heading1"/>
      </w:pPr>
      <w:r>
        <w:t xml:space="preserve">Homiletics Analysis: 2 Chronicles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14 opens the reign of Asa, king of Judah, with a concentrated portrait of a king who sought the LORD and found Him faithful. The chapter moves through three phases: Asa’s initial reforms and the resulting rest (vv. 1–8), the threat posed by Zerah the Ethiopian’s massive invasion force (vv. 9–10), Asa’s prayer (v. 11), and the LORD’s decisive defeat of the enemy followed by extraordinary spoil (vv. 12–15). The structural logic is deliberate — obedience produces rest, rest is tested by threat, threat produces prayer, prayer produces deliverance. The narrative is not primarily about military strategy or national politics; it is about whether a king will seek the LORD when the stakes are existential. Asa does. And the LORD responds in kind.</w:t>
      </w:r>
    </w:p>
    <w:p>
      <w:pPr>
        <w:pStyle w:val="BodyText"/>
      </w:pPr>
      <w:r>
        <w:rPr>
          <w:b/>
          <w:bCs/>
        </w:rPr>
        <w:t xml:space="preserve">This Text — Intent</w:t>
      </w:r>
    </w:p>
    <w:p>
      <w:pPr>
        <w:pStyle w:val="BodyText"/>
      </w:pPr>
      <w:r>
        <w:t xml:space="preserve">God is using this chapter to demonstrate that seeking Him is never futile — that the God who is appealed to in desperate prayer is both willing and able to act on behalf of those who trust Him with what they cannot handle themselves. The Chronicler is not writing neutral history; he is writing to a post-exilic community that needs to know whether it is worth trusting the LORD in circumstances that seem overwhelming. The intent is to produce confidence in God’s sufficiency and to call readers away from self-reliance toward radical dependence — the dependence Asa models in verse 11.</w:t>
      </w:r>
    </w:p>
    <w:p>
      <w:r>
        <w:pict>
          <v:rect style="width:0;height:1.5pt" o:hralign="center" o:hrstd="t" o:hr="t"/>
        </w:pict>
      </w:r>
    </w:p>
    <w:p>
      <w:pPr>
        <w:pStyle w:val="FirstParagraph"/>
      </w:pPr>
      <w:r>
        <w:rPr>
          <w:b/>
          <w:bCs/>
        </w:rPr>
        <w:t xml:space="preserve">Subject Sentence:</w:t>
      </w:r>
      <w:r>
        <w:t xml:space="preserve"> </w:t>
      </w:r>
      <w:r>
        <w:t xml:space="preserve">Asa’s reign demonstrates that seeking the LORD produces both reform and deliverance when human resources are exhausted.</w:t>
      </w:r>
    </w:p>
    <w:p>
      <w:r>
        <w:pict>
          <v:rect style="width:0;height:1.5pt" o:hralign="center" o:hrstd="t" o:hr="t"/>
        </w:pict>
      </w:r>
    </w:p>
    <w:p>
      <w:pPr>
        <w:pStyle w:val="FirstParagraph"/>
      </w:pPr>
      <w:r>
        <w:rPr>
          <w:b/>
          <w:bCs/>
        </w:rPr>
        <w:t xml:space="preserve">Primary Claim:</w:t>
      </w:r>
      <w:r>
        <w:t xml:space="preserve"> </w:t>
      </w:r>
      <w:r>
        <w:t xml:space="preserve">God is showing His people that faithful seeking — in reform, in rest, and in desperate prayer — is never wasted, because He is the God who fights for those who acknowledge their helplessness and rest their case entirely on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Chronicler’s Historical Account</w:t>
      </w:r>
    </w:p>
    <w:p>
      <w:pPr>
        <w:pStyle w:val="BodyText"/>
      </w:pPr>
      <w:r>
        <w:t xml:space="preserve">The most significant interpretive issue in 2 Chronicles 14 is the scale of Zerah’s army —</w:t>
      </w:r>
      <w:r>
        <w:t xml:space="preserve"> </w:t>
      </w:r>
      <w:r>
        <w:t xml:space="preserve">“a million men and three hundred chariots”</w:t>
      </w:r>
      <w:r>
        <w:t xml:space="preserve"> </w:t>
      </w:r>
      <w:r>
        <w:t xml:space="preserve">(v. 9). Critical scholars frequently dismiss this as hyperbole, legendary inflation, or theological fiction, arguing that no such engagement appears in Egyptian or Ethiopian records and that the numbers strain credibility. This reading must be refuted. The Chronicler writes with consistent numerical specificity in contexts where both smaller and larger armies are described; the numbers are not decorative. More importantly, the theology of the passage depends on the disproportion being real: Asa explicitly acknowledges in verse 11 that he is outnumbered (</w:t>
      </w:r>
      <w:r>
        <w:t xml:space="preserve">“we rest on You, and in Your name we go against this multitude”</w:t>
      </w:r>
      <w:r>
        <w:t xml:space="preserve">). If the threat is fictional, the deliverance is theater. The Reformed reading accepts the historical claim as given, trusts the Chronicler’s testimony, and lets the actual disproportionality do its theological work.</w:t>
      </w:r>
    </w:p>
    <w:p>
      <w:pPr>
        <w:pStyle w:val="BodyText"/>
      </w:pPr>
      <w:r>
        <w:rPr>
          <w:b/>
          <w:bCs/>
        </w:rPr>
        <w:t xml:space="preserve">Asa’s Prayer and the Question of Merit</w:t>
      </w:r>
    </w:p>
    <w:p>
      <w:pPr>
        <w:pStyle w:val="BodyText"/>
      </w:pPr>
      <w:r>
        <w:t xml:space="preserve">Some Wesleyan and Baptist expositors read Asa’s prayer in verse 11 as a model of covenant faithfulness that activates divine blessing — the implication being that God helps those who prove themselves worthy by prior reform. This reading partially holds but must be qualified. Asa’s reforms are genuinely present and genuinely relevant — the Chronicler does not separate</w:t>
      </w:r>
      <w:r>
        <w:t xml:space="preserve"> </w:t>
      </w:r>
      <w:r>
        <w:t xml:space="preserve">“seeking the LORD”</w:t>
      </w:r>
      <w:r>
        <w:t xml:space="preserve"> </w:t>
      </w:r>
      <w:r>
        <w:t xml:space="preserve">from concrete covenant fidelity. But Asa’s prayer is not an appeal to merit; it is an appeal to God’s character and God’s capacity:</w:t>
      </w:r>
      <w:r>
        <w:t xml:space="preserve"> </w:t>
      </w:r>
      <w:r>
        <w:t xml:space="preserve">“it is nothing for You to help, whether with many or with those who have no power.”</w:t>
      </w:r>
      <w:r>
        <w:t xml:space="preserve"> </w:t>
      </w:r>
      <w:r>
        <w:t xml:space="preserve">The prayer is a confession of utter inability, not a presentation of credentials. The Reformed reading locates the ground of deliverance in God’s sovereign sufficiency, not in Asa’s accumulated righteousness. The prior reforms matter — they establish the posture of the heart — but they do not purchase the outcome.</w:t>
      </w:r>
    </w:p>
    <w:p>
      <w:pPr>
        <w:pStyle w:val="BodyText"/>
      </w:pPr>
      <w:r>
        <w:rPr>
          <w:b/>
          <w:bCs/>
        </w:rPr>
        <w:t xml:space="preserve">Dispensational and Redemptive-Historical Considerations</w:t>
      </w:r>
    </w:p>
    <w:p>
      <w:pPr>
        <w:pStyle w:val="BodyText"/>
      </w:pPr>
      <w:r>
        <w:t xml:space="preserve">Some dispensational readers treat this passage as exclusively applicable to the theocratic nation of Israel, bracketing off any claim on New Covenant believers since the specific military-deliverance promises belong to Israel’s national covenant. This reading should be qualified rather than refuted. The specific military-national dimension of the deliverance is indeed tied to Israel’s theocratic context. However, the Chronicler is writing well after the theocracy’s collapse and is clearly drawing theological lessons for a community without a king, without an army, and without national sovereignty — meaning the passage’s applicability always exceeded its national frame. The New Testament fulfillment does not cancel the claim but extends it: the God who fights for those who call on Him in helplessness is precisely the God revealed in Christ, who does His greatest work when human resources are at zero.</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14:13–14</w:t>
      </w:r>
      <w:r>
        <w:t xml:space="preserve"> </w:t>
      </w:r>
      <w:r>
        <w:t xml:space="preserve">—</w:t>
      </w:r>
      <w:r>
        <w:t xml:space="preserve"> </w:t>
      </w:r>
      <w:r>
        <w:t xml:space="preserve">“The LORD will fight for you, and you have only to be silent.”</w:t>
      </w:r>
      <w:r>
        <w:t xml:space="preserve"> </w:t>
      </w:r>
      <w:r>
        <w:t xml:space="preserve">The paradigm of divine warfare on behalf of a helpless people is established at the Red Sea; Asa’s prayer in 2 Chronicles 14:11 stands in direct theological continuity with Israel’s foundational deliverance experience.</w:t>
      </w:r>
    </w:p>
    <w:p>
      <w:pPr>
        <w:numPr>
          <w:ilvl w:val="0"/>
          <w:numId w:val="1001"/>
        </w:numPr>
      </w:pPr>
      <w:r>
        <w:rPr>
          <w:b/>
          <w:bCs/>
        </w:rPr>
        <w:t xml:space="preserve">Psalm 46:1–3</w:t>
      </w:r>
      <w:r>
        <w:t xml:space="preserve"> </w:t>
      </w:r>
      <w:r>
        <w:t xml:space="preserve">—</w:t>
      </w:r>
      <w:r>
        <w:t xml:space="preserve"> </w:t>
      </w:r>
      <w:r>
        <w:t xml:space="preserve">“God is our refuge and strength, a very present help in trouble.”</w:t>
      </w:r>
      <w:r>
        <w:t xml:space="preserve"> </w:t>
      </w:r>
      <w:r>
        <w:t xml:space="preserve">The Psalm grounds the confidence Asa models — that when earthly security collapses, God’s sufficiency is not diminished but revealed. The</w:t>
      </w:r>
      <w:r>
        <w:t xml:space="preserve"> </w:t>
      </w:r>
      <w:r>
        <w:t xml:space="preserve">“valley of Zephathah”</w:t>
      </w:r>
      <w:r>
        <w:t xml:space="preserve"> </w:t>
      </w:r>
      <w:r>
        <w:t xml:space="preserve">becomes a Psalm 46 moment.</w:t>
      </w:r>
    </w:p>
    <w:p>
      <w:pPr>
        <w:numPr>
          <w:ilvl w:val="0"/>
          <w:numId w:val="1001"/>
        </w:numPr>
      </w:pPr>
      <w:r>
        <w:rPr>
          <w:b/>
          <w:bCs/>
        </w:rPr>
        <w:t xml:space="preserve">2 Corinthians 12:9–10</w:t>
      </w:r>
      <w:r>
        <w:t xml:space="preserve"> </w:t>
      </w:r>
      <w:r>
        <w:t xml:space="preserve">—</w:t>
      </w:r>
      <w:r>
        <w:t xml:space="preserve"> </w:t>
      </w:r>
      <w:r>
        <w:t xml:space="preserve">“My power is made perfect in weakness.”</w:t>
      </w:r>
      <w:r>
        <w:t xml:space="preserve"> </w:t>
      </w:r>
      <w:r>
        <w:t xml:space="preserve">Paul’s testimony provides the New Covenant articulation of the same claim: God’s capacity is displayed precisely when human capacity reaches its end. The pattern of Asa’s deliverance is the pattern of the gospel.</w:t>
      </w:r>
    </w:p>
    <w:p>
      <w:pPr>
        <w:numPr>
          <w:ilvl w:val="0"/>
          <w:numId w:val="1001"/>
        </w:numPr>
      </w:pPr>
      <w:r>
        <w:rPr>
          <w:b/>
          <w:bCs/>
        </w:rPr>
        <w:t xml:space="preserve">Jeremiah 17:5–8</w:t>
      </w:r>
      <w:r>
        <w:t xml:space="preserve"> </w:t>
      </w:r>
      <w:r>
        <w:t xml:space="preserve">— The cursed man trusts in man; the blessed man trusts in the LORD. This passage provides the covenantal frame for Asa’s choice — he has lived the Jeremiah 17 alternative, and 2 Chronicles 14 narrates its outcome.</w:t>
      </w:r>
    </w:p>
    <w:p>
      <w:pPr>
        <w:numPr>
          <w:ilvl w:val="0"/>
          <w:numId w:val="1001"/>
        </w:numPr>
      </w:pPr>
      <w:r>
        <w:rPr>
          <w:b/>
          <w:bCs/>
        </w:rPr>
        <w:t xml:space="preserve">Romans 4:17–21</w:t>
      </w:r>
      <w:r>
        <w:t xml:space="preserve"> </w:t>
      </w:r>
      <w:r>
        <w:t xml:space="preserve">— Abraham</w:t>
      </w:r>
      <w:r>
        <w:t xml:space="preserve"> </w:t>
      </w:r>
      <w:r>
        <w:t xml:space="preserve">“in hope believed against hope”</w:t>
      </w:r>
      <w:r>
        <w:t xml:space="preserve"> </w:t>
      </w:r>
      <w:r>
        <w:t xml:space="preserve">because</w:t>
      </w:r>
      <w:r>
        <w:t xml:space="preserve"> </w:t>
      </w:r>
      <w:r>
        <w:t xml:space="preserve">“he was fully convinced that God was able.”</w:t>
      </w:r>
      <w:r>
        <w:t xml:space="preserve"> </w:t>
      </w:r>
      <w:r>
        <w:t xml:space="preserve">Asa’s prayer —</w:t>
      </w:r>
      <w:r>
        <w:t xml:space="preserve"> </w:t>
      </w:r>
      <w:r>
        <w:t xml:space="preserve">“it is nothing for You to help”</w:t>
      </w:r>
      <w:r>
        <w:t xml:space="preserve"> </w:t>
      </w:r>
      <w:r>
        <w:t xml:space="preserve">— is the prayer of a man convinced of what God is capable of, and that conviction is credited as faith, not formula.</w:t>
      </w:r>
    </w:p>
    <w:p>
      <w:r>
        <w:pict>
          <v:rect style="width:0;height:1.5pt" o:hralign="center" o:hrstd="t" o:hr="t"/>
        </w:pict>
      </w:r>
    </w:p>
    <w:p>
      <w:pPr>
        <w:pStyle w:val="FirstParagraph"/>
      </w:pPr>
      <w:r>
        <w:rPr>
          <w:b/>
          <w:bCs/>
        </w:rPr>
        <w:t xml:space="preserve">Aim:</w:t>
      </w:r>
      <w:r>
        <w:t xml:space="preserve"> </w:t>
      </w:r>
      <w:r>
        <w:t xml:space="preserve">To demonstrate from Asa’s prayer and deliverance that God is most fully trusted — and most fully revealed — when human resources are exhausted and His people bring their helplessness honestly to Him.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Asa begins his reign; the land has rest because Asa seeks the LORD</w:t>
            </w:r>
          </w:p>
        </w:tc>
        <w:tc>
          <w:tcPr/>
          <w:p>
            <w:pPr>
              <w:pStyle w:val="Compact"/>
            </w:pPr>
            <w:r>
              <w:t xml:space="preserve">Chronological bridge from Abijah’s reign;</w:t>
            </w:r>
            <w:r>
              <w:t xml:space="preserve"> </w:t>
            </w:r>
            <w:r>
              <w:t xml:space="preserve">“rest”</w:t>
            </w:r>
            <w:r>
              <w:t xml:space="preserve"> </w:t>
            </w:r>
            <w:r>
              <w:t xml:space="preserve">is a theological category in Chronicles, not merely political</w:t>
            </w:r>
          </w:p>
        </w:tc>
      </w:tr>
      <w:tr>
        <w:tc>
          <w:tcPr/>
          <w:p>
            <w:pPr>
              <w:pStyle w:val="Compact"/>
            </w:pPr>
            <w:r>
              <w:t xml:space="preserve">2–5</w:t>
            </w:r>
          </w:p>
        </w:tc>
        <w:tc>
          <w:tcPr/>
          <w:p>
            <w:pPr>
              <w:pStyle w:val="Compact"/>
            </w:pPr>
            <w:r>
              <w:t xml:space="preserve">Asa does what is good and right; removes foreign altars, high places, pillars, and Asherim; commands Judah to seek the LORD</w:t>
            </w:r>
          </w:p>
        </w:tc>
        <w:tc>
          <w:tcPr/>
          <w:p>
            <w:pPr>
              <w:pStyle w:val="Compact"/>
            </w:pPr>
            <w:r>
              <w:t xml:space="preserve">Reform precedes rest — or more precisely, seeking the LORD produces the conditions for rest</w:t>
            </w:r>
          </w:p>
        </w:tc>
      </w:tr>
      <w:tr>
        <w:tc>
          <w:tcPr/>
          <w:p>
            <w:pPr>
              <w:pStyle w:val="Compact"/>
            </w:pPr>
            <w:r>
              <w:t xml:space="preserve">6–7</w:t>
            </w:r>
          </w:p>
        </w:tc>
        <w:tc>
          <w:tcPr/>
          <w:p>
            <w:pPr>
              <w:pStyle w:val="Compact"/>
            </w:pPr>
            <w:r>
              <w:t xml:space="preserve">During the rest, Asa builds fortified cities; attributes the rest explicitly to seeking the LORD; calls the people to build</w:t>
            </w:r>
            <w:r>
              <w:t xml:space="preserve"> </w:t>
            </w:r>
            <w:r>
              <w:t xml:space="preserve">“while we have the land”</w:t>
            </w:r>
          </w:p>
        </w:tc>
        <w:tc>
          <w:tcPr/>
          <w:p>
            <w:pPr>
              <w:pStyle w:val="Compact"/>
            </w:pPr>
            <w:r>
              <w:t xml:space="preserve">The rest is understood as contingent on continued seeking — Asa articulates the logic explicitly</w:t>
            </w:r>
          </w:p>
        </w:tc>
      </w:tr>
      <w:tr>
        <w:tc>
          <w:tcPr/>
          <w:p>
            <w:pPr>
              <w:pStyle w:val="Compact"/>
            </w:pPr>
            <w:r>
              <w:t xml:space="preserve">8</w:t>
            </w:r>
          </w:p>
        </w:tc>
        <w:tc>
          <w:tcPr/>
          <w:p>
            <w:pPr>
              <w:pStyle w:val="Compact"/>
            </w:pPr>
            <w:r>
              <w:t xml:space="preserve">Asa musters his army: 300,000 from Judah, 280,000 from Benjamin — a significant but finite force</w:t>
            </w:r>
          </w:p>
        </w:tc>
        <w:tc>
          <w:tcPr/>
          <w:p>
            <w:pPr>
              <w:pStyle w:val="Compact"/>
            </w:pPr>
            <w:r>
              <w:t xml:space="preserve">The army number is load-bearing — it establishes what Asa has before the threat arrives</w:t>
            </w:r>
          </w:p>
        </w:tc>
      </w:tr>
      <w:tr>
        <w:tc>
          <w:tcPr/>
          <w:p>
            <w:pPr>
              <w:pStyle w:val="Compact"/>
            </w:pPr>
            <w:r>
              <w:t xml:space="preserve">9–10</w:t>
            </w:r>
          </w:p>
        </w:tc>
        <w:tc>
          <w:tcPr/>
          <w:p>
            <w:pPr>
              <w:pStyle w:val="Compact"/>
            </w:pPr>
            <w:r>
              <w:t xml:space="preserve">Zerah the Ethiopian comes with one million men and three hundred chariots; arrays against Asa at Mareshah</w:t>
            </w:r>
          </w:p>
        </w:tc>
        <w:tc>
          <w:tcPr/>
          <w:p>
            <w:pPr>
              <w:pStyle w:val="Compact"/>
            </w:pPr>
            <w:r>
              <w:t xml:space="preserve">The disproportion is stark and intentional — Asa’s army is outnumbered roughly 1.7:1, and the chariot advantage is entirely on Zerah’s side</w:t>
            </w:r>
          </w:p>
        </w:tc>
      </w:tr>
      <w:tr>
        <w:tc>
          <w:tcPr/>
          <w:p>
            <w:pPr>
              <w:pStyle w:val="Compact"/>
            </w:pPr>
            <w:r>
              <w:t xml:space="preserve">11</w:t>
            </w:r>
          </w:p>
        </w:tc>
        <w:tc>
          <w:tcPr/>
          <w:p>
            <w:pPr>
              <w:pStyle w:val="Compact"/>
            </w:pPr>
            <w:r>
              <w:t xml:space="preserve">Asa cries to the LORD:</w:t>
            </w:r>
            <w:r>
              <w:t xml:space="preserve"> </w:t>
            </w:r>
            <w:r>
              <w:t xml:space="preserve">“LORD, there is none like You to help, between the mighty and the weak. Help us, O LORD our God, for we rely on You, and in Your name we have come against this multitude. O LORD, You are our God; let not man prevail against You.”</w:t>
            </w:r>
          </w:p>
        </w:tc>
        <w:tc>
          <w:tcPr/>
          <w:p>
            <w:pPr>
              <w:pStyle w:val="Compact"/>
            </w:pPr>
            <w:r>
              <w:t xml:space="preserve">The theological center of the chapter; prayer is a confession of inability, an acknowledgment of God’s uniqueness, and a claim staked on God’s own name</w:t>
            </w:r>
          </w:p>
        </w:tc>
      </w:tr>
      <w:tr>
        <w:tc>
          <w:tcPr/>
          <w:p>
            <w:pPr>
              <w:pStyle w:val="Compact"/>
            </w:pPr>
            <w:r>
              <w:t xml:space="preserve">12</w:t>
            </w:r>
          </w:p>
        </w:tc>
        <w:tc>
          <w:tcPr/>
          <w:p>
            <w:pPr>
              <w:pStyle w:val="Compact"/>
            </w:pPr>
            <w:r>
              <w:t xml:space="preserve">The LORD defeats the Ethiopians before Asa and Judah; they flee</w:t>
            </w:r>
          </w:p>
        </w:tc>
        <w:tc>
          <w:tcPr/>
          <w:p>
            <w:pPr>
              <w:pStyle w:val="Compact"/>
            </w:pPr>
            <w:r>
              <w:t xml:space="preserve">The grammar is explicit — the LORD strikes first; the Israelites pursue</w:t>
            </w:r>
          </w:p>
        </w:tc>
      </w:tr>
      <w:tr>
        <w:tc>
          <w:tcPr/>
          <w:p>
            <w:pPr>
              <w:pStyle w:val="Compact"/>
            </w:pPr>
            <w:r>
              <w:t xml:space="preserve">13–15</w:t>
            </w:r>
          </w:p>
        </w:tc>
        <w:tc>
          <w:tcPr/>
          <w:p>
            <w:pPr>
              <w:pStyle w:val="Compact"/>
            </w:pPr>
            <w:r>
              <w:t xml:space="preserve">Asa and his people plunder the enemy cities; carry off large amounts of livestock and goods</w:t>
            </w:r>
          </w:p>
        </w:tc>
        <w:tc>
          <w:tcPr/>
          <w:p>
            <w:pPr>
              <w:pStyle w:val="Compact"/>
            </w:pPr>
            <w:r>
              <w:t xml:space="preserve">The extent of the spoil mirrors the extent of the threat — the victory is total, not partial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Fruit of Seeking: Rest, Reform, and the Explicit Acknowledgment of Its Source</w:t>
            </w:r>
          </w:p>
        </w:tc>
      </w:tr>
      <w:tr>
        <w:tc>
          <w:tcPr/>
          <w:p>
            <w:pPr>
              <w:pStyle w:val="Compact"/>
            </w:pPr>
            <w:r>
              <w:t xml:space="preserve">2</w:t>
            </w:r>
          </w:p>
        </w:tc>
        <w:tc>
          <w:tcPr/>
          <w:p>
            <w:pPr>
              <w:pStyle w:val="Compact"/>
            </w:pPr>
            <w:r>
              <w:t xml:space="preserve">8–10</w:t>
            </w:r>
          </w:p>
        </w:tc>
        <w:tc>
          <w:tcPr/>
          <w:p>
            <w:pPr>
              <w:pStyle w:val="Compact"/>
            </w:pPr>
            <w:r>
              <w:t xml:space="preserve">The Test of Seeking: An Overwhelming Threat That Outstrips All Available Resources</w:t>
            </w:r>
          </w:p>
        </w:tc>
      </w:tr>
      <w:tr>
        <w:tc>
          <w:tcPr/>
          <w:p>
            <w:pPr>
              <w:pStyle w:val="Compact"/>
            </w:pPr>
            <w:r>
              <w:t xml:space="preserve">3</w:t>
            </w:r>
          </w:p>
        </w:tc>
        <w:tc>
          <w:tcPr/>
          <w:p>
            <w:pPr>
              <w:pStyle w:val="Compact"/>
            </w:pPr>
            <w:r>
              <w:t xml:space="preserve">11</w:t>
            </w:r>
          </w:p>
        </w:tc>
        <w:tc>
          <w:tcPr/>
          <w:p>
            <w:pPr>
              <w:pStyle w:val="Compact"/>
            </w:pPr>
            <w:r>
              <w:t xml:space="preserve">The Act of Seeking: A Prayer That Stakes Everything on God’s Character and Capacity</w:t>
            </w:r>
          </w:p>
        </w:tc>
      </w:tr>
      <w:tr>
        <w:tc>
          <w:tcPr/>
          <w:p>
            <w:pPr>
              <w:pStyle w:val="Compact"/>
            </w:pPr>
            <w:r>
              <w:t xml:space="preserve">4</w:t>
            </w:r>
          </w:p>
        </w:tc>
        <w:tc>
          <w:tcPr/>
          <w:p>
            <w:pPr>
              <w:pStyle w:val="Compact"/>
            </w:pPr>
            <w:r>
              <w:t xml:space="preserve">12–15</w:t>
            </w:r>
          </w:p>
        </w:tc>
        <w:tc>
          <w:tcPr/>
          <w:p>
            <w:pPr>
              <w:pStyle w:val="Compact"/>
            </w:pPr>
            <w:r>
              <w:t xml:space="preserve">The Reward of Seeking: Total Deliverance by the LORD’s Own Hand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Asa’s reign demonstrates that seeking the LORD produces both reform and deliverance when human resources are exhausted.</w:t>
      </w:r>
    </w:p>
    <w:p>
      <w:pPr>
        <w:pStyle w:val="BodyText"/>
      </w:pPr>
      <w:r>
        <w:rPr>
          <w:b/>
          <w:bCs/>
        </w:rPr>
        <w:t xml:space="preserve">Primary Claim:</w:t>
      </w:r>
      <w:r>
        <w:t xml:space="preserve"> </w:t>
      </w:r>
      <w:r>
        <w:t xml:space="preserve">God is showing His people that faithful seeking — in reform, in rest, and in desperate prayer — is never wasted, because He is the God who fights for those who acknowledge their helplessness and rest their case entirely on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seeking the LORD is not a private spiritual habit — it reshapes communities.</w:t>
      </w:r>
      <w:r>
        <w:t xml:space="preserve"> </w:t>
      </w:r>
      <w:r>
        <w:rPr>
          <w:i/>
          <w:iCs/>
        </w:rPr>
        <w:t xml:space="preserve">(Mind/belief)</w:t>
      </w:r>
      <w:r>
        <w:t xml:space="preserve"> </w:t>
      </w:r>
      <w:r>
        <w:t xml:space="preserve">Asa did not seek the LORD in personal quiet while Judah remained unreformed. His seeking expressed itself in the removal of what was false and the restoration of what was true. Readers who confine</w:t>
      </w:r>
      <w:r>
        <w:t xml:space="preserve"> </w:t>
      </w:r>
      <w:r>
        <w:t xml:space="preserve">“seeking the LORD”</w:t>
      </w:r>
      <w:r>
        <w:t xml:space="preserve"> </w:t>
      </w:r>
      <w:r>
        <w:t xml:space="preserve">to personal devotion while leaving their communities, households, and institutions unreformed have not yet understood what seeking actually produces. The first application of Asa’s seeking is structural: what is corrupt gets removed; what is covenantally faithful gets built.</w:t>
      </w:r>
    </w:p>
    <w:p>
      <w:pPr>
        <w:pStyle w:val="BodyText"/>
      </w:pPr>
      <w:r>
        <w:rPr>
          <w:b/>
          <w:bCs/>
        </w:rPr>
        <w:t xml:space="preserve">2. Let the rest God gives become an occasion for building, not for coasting.</w:t>
      </w:r>
      <w:r>
        <w:t xml:space="preserve"> </w:t>
      </w:r>
      <w:r>
        <w:rPr>
          <w:i/>
          <w:iCs/>
        </w:rPr>
        <w:t xml:space="preserve">(Will/behavior)</w:t>
      </w:r>
      <w:r>
        <w:t xml:space="preserve"> </w:t>
      </w:r>
      <w:r>
        <w:t xml:space="preserve">Asa uses the quiet years not for self-enrichment or passive enjoyment but for fortification — building cities, equipping an army, preparing for a threat not yet visible. The dangerous temptation of spiritual rest is to treat it as a destination rather than a provisioning season. Asa understood rest as preparation. Where God has given a quiet season — a period of stability in marriage, ministry, health, or finance — the question is not</w:t>
      </w:r>
      <w:r>
        <w:t xml:space="preserve"> </w:t>
      </w:r>
      <w:r>
        <w:t xml:space="preserve">“how comfortable can I become?”</w:t>
      </w:r>
      <w:r>
        <w:t xml:space="preserve"> </w:t>
      </w:r>
      <w:r>
        <w:t xml:space="preserve">but</w:t>
      </w:r>
      <w:r>
        <w:t xml:space="preserve"> </w:t>
      </w:r>
      <w:r>
        <w:t xml:space="preserve">“what am I building that will matter when the threat arrives?”</w:t>
      </w:r>
    </w:p>
    <w:p>
      <w:pPr>
        <w:pStyle w:val="BodyText"/>
      </w:pPr>
      <w:r>
        <w:rPr>
          <w:b/>
          <w:bCs/>
        </w:rPr>
        <w:t xml:space="preserve">3. When you are genuinely overwhelmed, go to God before you go anywhere else — and go to Him with the actual numbers.</w:t>
      </w:r>
      <w:r>
        <w:t xml:space="preserve"> </w:t>
      </w:r>
      <w:r>
        <w:rPr>
          <w:i/>
          <w:iCs/>
        </w:rPr>
        <w:t xml:space="preserve">(Will/behavior)</w:t>
      </w:r>
      <w:r>
        <w:t xml:space="preserve"> </w:t>
      </w:r>
      <w:r>
        <w:t xml:space="preserve">Asa does not pray generically. He names the problem with specificity:</w:t>
      </w:r>
      <w:r>
        <w:t xml:space="preserve"> </w:t>
      </w:r>
      <w:r>
        <w:t xml:space="preserve">“a multitude.”</w:t>
      </w:r>
      <w:r>
        <w:t xml:space="preserve"> </w:t>
      </w:r>
      <w:r>
        <w:t xml:space="preserve">He names his own position:</w:t>
      </w:r>
      <w:r>
        <w:t xml:space="preserve"> </w:t>
      </w:r>
      <w:r>
        <w:t xml:space="preserve">“we rest on You.”</w:t>
      </w:r>
      <w:r>
        <w:t xml:space="preserve"> </w:t>
      </w:r>
      <w:r>
        <w:t xml:space="preserve">He does not round down the threat or inflate his own resources. The application is painfully concrete: when the diagnosis comes, when the marriage reaches the end of human repair, when the financial situation has no visible exit — the first move is not research, not consultation, not strategy. It is prayer that presents the actual situation to the God who is not surprised by it. Asa’s prayer is short because it says everything necessary: here is what I have, here is what I face, here is where I am resting.</w:t>
      </w:r>
    </w:p>
    <w:p>
      <w:pPr>
        <w:pStyle w:val="BodyText"/>
      </w:pPr>
      <w:r>
        <w:rPr>
          <w:b/>
          <w:bCs/>
        </w:rPr>
        <w:t xml:space="preserve">4. Embrace the theological reality that God does His clearest work when your resources run out.</w:t>
      </w:r>
      <w:r>
        <w:t xml:space="preserve"> </w:t>
      </w:r>
      <w:r>
        <w:rPr>
          <w:i/>
          <w:iCs/>
        </w:rPr>
        <w:t xml:space="preserve">(Affections/worship)</w:t>
      </w:r>
      <w:r>
        <w:t xml:space="preserve"> </w:t>
      </w:r>
      <w:r>
        <w:t xml:space="preserve">Asa’s million-man problem is not incidental to the theology — it is the point. The Chronicler is deliberate: the disproportion that makes Asa’s heart sink is the same disproportion that will make God’s victory unmistakable. The application is not merely cognitive but worshipful: when circumstances are arranged so that no human explanation for the outcome is possible, God is not being cruel — He is setting the stage. The soul that learns to receive overwhelming odds as a setup for unmistakable grace has learned to read its own life redemptively. What feels like abandonment is often the precondition for revelation.</w:t>
      </w:r>
    </w:p>
    <w:p>
      <w:pPr>
        <w:pStyle w:val="BodyText"/>
      </w:pPr>
      <w:r>
        <w:rPr>
          <w:b/>
          <w:bCs/>
        </w:rPr>
        <w:t xml:space="preserve">5. Asa’s prayer teaches you what to believe about God when everything is against you: He is uniquely able, He is personally invested, and He fights when you cannot.</w:t>
      </w:r>
      <w:r>
        <w:t xml:space="preserve"> </w:t>
      </w:r>
      <w:r>
        <w:rPr>
          <w:i/>
          <w:iCs/>
        </w:rPr>
        <w:t xml:space="preserve">(Mind/belief)</w:t>
      </w:r>
      <w:r>
        <w:t xml:space="preserve"> </w:t>
      </w:r>
      <w:r>
        <w:t xml:space="preserve">“There is none like You to help, between the mighty and the weak.”</w:t>
      </w:r>
      <w:r>
        <w:t xml:space="preserve"> </w:t>
      </w:r>
      <w:r>
        <w:t xml:space="preserve">This is a theological claim that the prayer is designed to install in the praying heart. Asa is not flattering God into action — he is confessing what is true about God and letting that truth bear weight. The application is a reorientation of the belief structure: God’s capacity is not diminished by the size of the threat. His willingness to act is not proportional to the competence of the one asking. And the outcome of the battle does not depend on the quality of the army — it depends on whether His name is on the line. Asa understood that when he prayed</w:t>
      </w:r>
      <w:r>
        <w:t xml:space="preserve"> </w:t>
      </w:r>
      <w:r>
        <w:t xml:space="preserve">“in Your name we have come”</w:t>
      </w:r>
      <w:r>
        <w:t xml:space="preserve"> </w:t>
      </w:r>
      <w:r>
        <w:t xml:space="preserve">— God’s own honor was now invested in the outcome.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Chronicles 14 teaches that God is both responsive and decisive — He hears the prayer of the helpless and He acts in proportion to His own character, not in proportion to the resources of those who pray. The passage establishes that the posture of seeking is not merely emotionally significant but causally connected to what God does: the Chronicler does not present Asa’s deliverance as predetermined independently of his seeking — the prayer matters, the reforms matter, the explicit reliance matters. At the same time, the ground of deliverance is entirely God’s own competence and capacity:</w:t>
      </w:r>
      <w:r>
        <w:t xml:space="preserve"> </w:t>
      </w:r>
      <w:r>
        <w:t xml:space="preserve">“it is nothing for You to help.”</w:t>
      </w:r>
      <w:r>
        <w:t xml:space="preserve"> </w:t>
      </w:r>
      <w:r>
        <w:t xml:space="preserve">This is not a passage about maximizing human preparation before God’s involvement; it is a passage about a God who enters the field when His people bring their honest helplessness and stake their hope on His name alone.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functions within Reformed theology as a concrete narrative display of sovereign grace in the context of human instrumentality — the very tension that Reformed theology holds together rather than collapsing in either direction. Asa does real things: he reforms, he builds, he musters. But the moment of decision — the moment when the musters are not enough — the Reformed instinct is exactly Asa’s: there is nothing for it but God, and God is exactly enough. The prayer in verse 11 is a miniature theology of grace: it confesses human inability, acknowledges divine uniqueness, and stakes the outcome on God’s own name and honor. This is precisely the structure of the gospel — the believer brings nothing except acknowledged need and a claim staked on Christ’s name; God fights the battle that cannot be won otherwise; the victory is total and the spoil is real. Asa’s valley of Zephathah is a type of every dark valley where the people of God discover that the God who could not fail them did not.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Asa prayed to at Zephathah is the God you pray to now — the one for whom it is</w:t>
      </w:r>
      <w:r>
        <w:t xml:space="preserve"> </w:t>
      </w:r>
      <w:r>
        <w:t xml:space="preserve">“nothing”</w:t>
      </w:r>
      <w:r>
        <w:t xml:space="preserve"> </w:t>
      </w:r>
      <w:r>
        <w:t xml:space="preserve">to help the weak against the mighty, who fights when His name is on the line, and who has never yet lost a battle entrusted to Him by someone who had nothing left but His name. Stop managing the million-man problem alone. Bring it to Him with the actual numbers, stake it on His name, and watch what He does with helplessness honestly offered.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moralistic</w:t>
      </w:r>
      <w:r>
        <w:rPr>
          <w:b/>
          <w:bCs/>
        </w:rPr>
        <w:t xml:space="preserve"> </w:t>
      </w:r>
      <w:r>
        <w:rPr>
          <w:b/>
          <w:bCs/>
        </w:rPr>
        <w:t xml:space="preserve">“be like Asa”</w:t>
      </w:r>
      <w:r>
        <w:rPr>
          <w:b/>
          <w:bCs/>
        </w:rPr>
        <w:t xml:space="preserve"> </w:t>
      </w:r>
      <w:r>
        <w:rPr>
          <w:b/>
          <w:bCs/>
        </w:rPr>
        <w:t xml:space="preserve">sermon.</w:t>
      </w:r>
      <w:r>
        <w:t xml:space="preserve"> </w:t>
      </w:r>
      <w:r>
        <w:t xml:space="preserve">The most common mishandling of 2 Chronicles 14 is framing it as a character study in good leadership: Asa reformed, Asa prepared, Asa prayed — and so should you. This is not wrong in content, but it is wrong in center. The hero of the chapter is not Asa; it is the LORD who fights. Asa’s virtue is not the mechanism of deliverance — it is the posture that takes Asa to the LORD’s feet. Sermons that end with</w:t>
      </w:r>
      <w:r>
        <w:t xml:space="preserve"> </w:t>
      </w:r>
      <w:r>
        <w:t xml:space="preserve">“five qualities of an effective leader from Asa’s example”</w:t>
      </w:r>
      <w:r>
        <w:t xml:space="preserve"> </w:t>
      </w:r>
      <w:r>
        <w:t xml:space="preserve">have missed the Chronicler’s point entirely.</w:t>
      </w:r>
    </w:p>
    <w:p>
      <w:pPr>
        <w:numPr>
          <w:ilvl w:val="0"/>
          <w:numId w:val="1002"/>
        </w:numPr>
      </w:pPr>
      <w:r>
        <w:rPr>
          <w:b/>
          <w:bCs/>
        </w:rPr>
        <w:t xml:space="preserve">Spiritualizing the threat into irrelevance.</w:t>
      </w:r>
      <w:r>
        <w:t xml:space="preserve"> </w:t>
      </w:r>
      <w:r>
        <w:t xml:space="preserve">Preachers sometimes reduce Zerah’s million men to a vague metaphor (</w:t>
      </w:r>
      <w:r>
        <w:t xml:space="preserve">“your million-man problem might be anxiety, or a difficult relationship”</w:t>
      </w:r>
      <w:r>
        <w:t xml:space="preserve">) so quickly that the historical and physical reality of the threat disappears. The passage works theologically precisely because the threat was real, the army was actual, and the deliverance was physical. Move to application, yes — but let the concrete historical reality do its full work before moving. The weight of a real million-man army landing on Asa’s real king gives the prayer its real weight.</w:t>
      </w:r>
    </w:p>
    <w:p>
      <w:pPr>
        <w:numPr>
          <w:ilvl w:val="0"/>
          <w:numId w:val="1002"/>
        </w:numPr>
      </w:pPr>
      <w:r>
        <w:rPr>
          <w:b/>
          <w:bCs/>
        </w:rPr>
        <w:t xml:space="preserve">Treating the rest of vv. 1–7 as merely introductory background.</w:t>
      </w:r>
      <w:r>
        <w:t xml:space="preserve"> </w:t>
      </w:r>
      <w:r>
        <w:t xml:space="preserve">The rest and reform section is not setup — it is the first half of a theological argument. The Chronicler is showing that seeking the LORD has immediate and visible consequences (rest, the ability to build) before the crisis arrives. Preachers who race to the battle in vv. 9–15 and treat the reform section as throat-clearing have missed the structural logic: what Asa does in the quiet years is the same thing he does in the crisis year — he seeks the LORD. The crisis does not introduce a new posture; it intensifies an existing one.</w:t>
      </w:r>
    </w:p>
    <w:p>
      <w:pPr>
        <w:numPr>
          <w:ilvl w:val="0"/>
          <w:numId w:val="1002"/>
        </w:numPr>
      </w:pPr>
      <w:r>
        <w:rPr>
          <w:b/>
          <w:bCs/>
        </w:rPr>
        <w:t xml:space="preserve">Misreading Asa’s prayer as meritorious.</w:t>
      </w:r>
      <w:r>
        <w:t xml:space="preserve"> </w:t>
      </w:r>
      <w:r>
        <w:t xml:space="preserve">As noted in the Interpretive Evaluation, there is a consistent temptation to read</w:t>
      </w:r>
      <w:r>
        <w:t xml:space="preserve"> </w:t>
      </w:r>
      <w:r>
        <w:t xml:space="preserve">“we have sought You”</w:t>
      </w:r>
      <w:r>
        <w:t xml:space="preserve"> </w:t>
      </w:r>
      <w:r>
        <w:t xml:space="preserve">(implied in the reforms of vv. 2–5) as the basis for God’s obligation to act. This turns grace into reward. Asa’s prayer grounds God’s action not in Asa’s track record but in God’s character (</w:t>
      </w:r>
      <w:r>
        <w:t xml:space="preserve">“there is none like You”</w:t>
      </w:r>
      <w:r>
        <w:t xml:space="preserve">) and God’s name (</w:t>
      </w:r>
      <w:r>
        <w:t xml:space="preserve">“in Your name we have come”</w:t>
      </w:r>
      <w:r>
        <w:t xml:space="preserve">). Expound the prayer carefully: it is an appeal to God’s uniqueness and God’s honor, not a billing statement for services rendered.</w:t>
      </w:r>
    </w:p>
    <w:p>
      <w:pPr>
        <w:numPr>
          <w:ilvl w:val="0"/>
          <w:numId w:val="1002"/>
        </w:numPr>
      </w:pPr>
      <w:r>
        <w:rPr>
          <w:b/>
          <w:bCs/>
        </w:rPr>
        <w:t xml:space="preserve">Failing to preach the eschatological dimension of the spoil.</w:t>
      </w:r>
      <w:r>
        <w:t xml:space="preserve"> </w:t>
      </w:r>
      <w:r>
        <w:t xml:space="preserve">The plunder of vv. 13–15 is not incidental — the Chronicler describes it in detail because total victory includes the complete reversal of the threat. Preachers should not skip this or treat it as an anticlimactic logistics report. The spoil is the answer to the prayer: not just survival, but abundance beyond what was at risk. This anticipates the gospel pattern: Christ’s victory does not merely restore what was lost — it overflows. The sermon should land here with some eschatological weight.</w:t>
      </w:r>
    </w:p>
    <w:p>
      <w:pPr>
        <w:numPr>
          <w:ilvl w:val="0"/>
          <w:numId w:val="1002"/>
        </w:numPr>
      </w:pPr>
      <w:r>
        <w:rPr>
          <w:b/>
          <w:bCs/>
        </w:rPr>
        <w:t xml:space="preserve">Applying the passage only to dramatic crises while ignoring the quiet-season theology.</w:t>
      </w:r>
      <w:r>
        <w:t xml:space="preserve"> </w:t>
      </w:r>
      <w:r>
        <w:t xml:space="preserve">Many applications focus exclusively on the Zerah moment — the overwhelming crisis, the desperate prayer. But the passage’s structure commends equal attention to the Asa of vv. 6–7, who builds fortified cities during rest because he understands that the rest is covenantally contingent and the future is unknown. The application to ordinary seasons of stability — use them to build what will matter when the million arrive — is at least as important for most congregations as the crisis-prayer application.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2026-07-14T21:03:28Z</dcterms:created>
  <dcterms:modified xsi:type="dcterms:W3CDTF">2026-07-14T21:03:28Z</dcterms:modified>
</cp:coreProperties>
</file>

<file path=docProps/custom.xml><?xml version="1.0" encoding="utf-8"?>
<Properties xmlns="http://schemas.openxmlformats.org/officeDocument/2006/custom-properties" xmlns:vt="http://schemas.openxmlformats.org/officeDocument/2006/docPropsVTypes"/>
</file>